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38" w:rsidRDefault="00BD7C02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天府兴隆湖实验室家具采购项目</w:t>
      </w:r>
    </w:p>
    <w:p w:rsidR="001C2A38" w:rsidRDefault="00BD7C02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技术指标及商务要求响应表</w:t>
      </w:r>
    </w:p>
    <w:tbl>
      <w:tblPr>
        <w:tblStyle w:val="a3"/>
        <w:tblW w:w="9975" w:type="dxa"/>
        <w:tblInd w:w="-657" w:type="dxa"/>
        <w:tblLook w:val="04A0" w:firstRow="1" w:lastRow="0" w:firstColumn="1" w:lastColumn="0" w:noHBand="0" w:noVBand="1"/>
      </w:tblPr>
      <w:tblGrid>
        <w:gridCol w:w="912"/>
        <w:gridCol w:w="1713"/>
        <w:gridCol w:w="3325"/>
        <w:gridCol w:w="2200"/>
        <w:gridCol w:w="1825"/>
      </w:tblGrid>
      <w:tr w:rsidR="001C2A38">
        <w:tc>
          <w:tcPr>
            <w:tcW w:w="912" w:type="dxa"/>
          </w:tcPr>
          <w:p w:rsidR="001C2A38" w:rsidRDefault="001C2A38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  <w:p w:rsidR="001C2A38" w:rsidRDefault="00BD7C0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序号</w:t>
            </w:r>
          </w:p>
        </w:tc>
        <w:tc>
          <w:tcPr>
            <w:tcW w:w="1713" w:type="dxa"/>
          </w:tcPr>
          <w:p w:rsidR="001C2A38" w:rsidRDefault="001C2A38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  <w:p w:rsidR="001C2A38" w:rsidRDefault="00BD7C0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名称</w:t>
            </w:r>
          </w:p>
        </w:tc>
        <w:tc>
          <w:tcPr>
            <w:tcW w:w="3325" w:type="dxa"/>
          </w:tcPr>
          <w:p w:rsidR="001C2A38" w:rsidRDefault="001C2A38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  <w:p w:rsidR="001C2A38" w:rsidRDefault="00BD7C0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技术指标/商务要求</w:t>
            </w:r>
          </w:p>
        </w:tc>
        <w:tc>
          <w:tcPr>
            <w:tcW w:w="2200" w:type="dxa"/>
          </w:tcPr>
          <w:p w:rsidR="001C2A38" w:rsidRDefault="00BD7C0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偏离说明</w:t>
            </w:r>
          </w:p>
          <w:p w:rsidR="001C2A38" w:rsidRDefault="00BD7C0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(无偏离/正偏离/负偏离)</w:t>
            </w:r>
          </w:p>
        </w:tc>
        <w:tc>
          <w:tcPr>
            <w:tcW w:w="1825" w:type="dxa"/>
          </w:tcPr>
          <w:p w:rsidR="001C2A38" w:rsidRDefault="001C2A38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  <w:p w:rsidR="001C2A38" w:rsidRDefault="00BD7C0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备注</w:t>
            </w: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C2A38" w:rsidRDefault="00AF6B7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实验室南地块1号楼接待大厅地面石材维护</w:t>
            </w:r>
          </w:p>
        </w:tc>
        <w:tc>
          <w:tcPr>
            <w:tcW w:w="3325" w:type="dxa"/>
            <w:vAlign w:val="center"/>
          </w:tcPr>
          <w:p w:rsidR="001C2A38" w:rsidRDefault="00AF6B79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对实验室南地块1号楼接待大厅区域的地面石材按每季度至少1次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（按实验室实际需求）</w:t>
            </w: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的标准进行</w:t>
            </w:r>
            <w:bookmarkStart w:id="0" w:name="_GoBack"/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日</w:t>
            </w:r>
            <w:bookmarkEnd w:id="0"/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常维护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，</w:t>
            </w: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使该大厅地面石材整体洁净清爽，通过结晶养护增加石材的光洁度、润泽度、通透度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C2A38" w:rsidRDefault="00AF6B7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实验室办公区域地面石材维护</w:t>
            </w:r>
          </w:p>
        </w:tc>
        <w:tc>
          <w:tcPr>
            <w:tcW w:w="3325" w:type="dxa"/>
            <w:vAlign w:val="center"/>
          </w:tcPr>
          <w:p w:rsidR="001C2A38" w:rsidRDefault="00AF6B79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对实验室各办公区域的地面石材按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实验室实际</w:t>
            </w: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需求开展石材养护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，</w:t>
            </w:r>
            <w:r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使作业区域的地面石材整体洁净清爽，通过结晶养护增加石材的光洁度、润泽度、通透度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资质</w:t>
            </w:r>
          </w:p>
        </w:tc>
        <w:tc>
          <w:tcPr>
            <w:tcW w:w="3325" w:type="dxa"/>
            <w:vAlign w:val="center"/>
          </w:tcPr>
          <w:p w:rsidR="001C2A38" w:rsidRDefault="00BD7C02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中华人民共和国境内注册的独立法人，并具有与本询价项目相应的供货能力。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交货期</w:t>
            </w:r>
          </w:p>
        </w:tc>
        <w:tc>
          <w:tcPr>
            <w:tcW w:w="3325" w:type="dxa"/>
            <w:vAlign w:val="center"/>
          </w:tcPr>
          <w:p w:rsidR="001C2A38" w:rsidRDefault="00BD7C02" w:rsidP="00FB1E6C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签订</w:t>
            </w:r>
            <w:r w:rsid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为期两年的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长协</w:t>
            </w:r>
            <w:r w:rsid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合同，按照实验室实际要求分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次</w:t>
            </w:r>
            <w:r w:rsid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提供服务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，提出需求后，</w:t>
            </w:r>
            <w:r w:rsidR="00FB1E6C" w:rsidRPr="00FB1E6C"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天内完成</w:t>
            </w:r>
            <w:r w:rsid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交付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质保期</w:t>
            </w:r>
          </w:p>
        </w:tc>
        <w:tc>
          <w:tcPr>
            <w:tcW w:w="3325" w:type="dxa"/>
            <w:vAlign w:val="center"/>
          </w:tcPr>
          <w:p w:rsidR="001C2A38" w:rsidRDefault="00AF6B79" w:rsidP="00AF6B79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自每次服务成果</w:t>
            </w:r>
            <w:r w:rsidR="00BD7C0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验收合格后算起，质量保证期</w:t>
            </w:r>
            <w:r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  <w:t>60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天</w:t>
            </w:r>
            <w:r w:rsidR="00BD7C0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FA1E35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付款条件</w:t>
            </w:r>
          </w:p>
        </w:tc>
        <w:tc>
          <w:tcPr>
            <w:tcW w:w="3325" w:type="dxa"/>
            <w:vAlign w:val="center"/>
          </w:tcPr>
          <w:p w:rsidR="001C2A38" w:rsidRDefault="00BD7C02" w:rsidP="0062031F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分次</w:t>
            </w:r>
            <w:r w:rsid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提供服务，</w:t>
            </w:r>
            <w:r w:rsidR="00AF6B79" w:rsidRPr="00AF6B79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按季度支付费用，即供应商完成每季度养护清洁服务、双方确认对服务完成确认单书面签字并按照实验室要求提供发票后30个工作日内，实验室支对应费用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FB1E6C" w:rsidTr="00500C52">
        <w:tc>
          <w:tcPr>
            <w:tcW w:w="912" w:type="dxa"/>
            <w:vAlign w:val="center"/>
          </w:tcPr>
          <w:p w:rsidR="00FB1E6C" w:rsidRDefault="00FA1E35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FB1E6C" w:rsidRDefault="00FB1E6C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质量要求</w:t>
            </w:r>
          </w:p>
        </w:tc>
        <w:tc>
          <w:tcPr>
            <w:tcW w:w="3325" w:type="dxa"/>
            <w:vAlign w:val="center"/>
          </w:tcPr>
          <w:p w:rsidR="00FB1E6C" w:rsidRDefault="0062031F" w:rsidP="00AF6B79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="00FB1E6C" w:rsidRP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有权在施工前或施工中检验</w:t>
            </w:r>
            <w:r w:rsid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供应商</w:t>
            </w:r>
            <w:r w:rsidR="00FB1E6C" w:rsidRP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所用清洁剂是否符合相关规定，</w:t>
            </w:r>
            <w:r w:rsid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供应商</w:t>
            </w:r>
            <w:r w:rsidR="00FB1E6C" w:rsidRP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每次提供的地面石材养护服务应做到大厅地面石材整体洁</w:t>
            </w:r>
            <w:r w:rsid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净清爽，通过洁净</w:t>
            </w:r>
            <w:r w:rsidR="00FB1E6C" w:rsidRP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养护增加石材</w:t>
            </w:r>
            <w:r w:rsidR="00FB1E6C" w:rsidRPr="00FB1E6C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lastRenderedPageBreak/>
              <w:t>的光洁度、润泽度、通透度。</w:t>
            </w:r>
          </w:p>
        </w:tc>
        <w:tc>
          <w:tcPr>
            <w:tcW w:w="2200" w:type="dxa"/>
            <w:vAlign w:val="center"/>
          </w:tcPr>
          <w:p w:rsidR="00FB1E6C" w:rsidRDefault="00FB1E6C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B1E6C" w:rsidRDefault="00FB1E6C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FA1E35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验收条件</w:t>
            </w:r>
          </w:p>
        </w:tc>
        <w:tc>
          <w:tcPr>
            <w:tcW w:w="3325" w:type="dxa"/>
            <w:vAlign w:val="center"/>
          </w:tcPr>
          <w:p w:rsidR="001C2A38" w:rsidRPr="00FB1E6C" w:rsidRDefault="0062031F" w:rsidP="00FB1E6C">
            <w:pPr>
              <w:jc w:val="left"/>
              <w:rPr>
                <w:rFonts w:ascii="仿宋_GB2312" w:eastAsia="仿宋_GB2312" w:hAnsi="宋体" w:cs="Times New Roman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="00FB1E6C"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按照</w:t>
            </w:r>
            <w:r w:rsidR="00500C52"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约定的</w:t>
            </w:r>
            <w:r w:rsidR="00FB1E6C"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技术指标要求逐条进行现场验收。</w:t>
            </w:r>
            <w:r w:rsidR="009310F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一季度内服务验收不合格的，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="009310F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有权中止合同。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FB1E6C" w:rsidTr="00500C52">
        <w:tc>
          <w:tcPr>
            <w:tcW w:w="912" w:type="dxa"/>
            <w:vAlign w:val="center"/>
          </w:tcPr>
          <w:p w:rsidR="00FB1E6C" w:rsidRDefault="00FA1E35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FB1E6C" w:rsidRDefault="00FB1E6C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质保要求</w:t>
            </w:r>
          </w:p>
        </w:tc>
        <w:tc>
          <w:tcPr>
            <w:tcW w:w="3325" w:type="dxa"/>
            <w:vAlign w:val="center"/>
          </w:tcPr>
          <w:p w:rsidR="00FB1E6C" w:rsidRPr="00500C52" w:rsidRDefault="00FB1E6C" w:rsidP="00FB1E6C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自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出具书面验收单验收合格之日起60天，如因供应商质量原因不能达到合同规定的技术要求时，供应商应负责处理并承担因此而发生的全部直接费用，除质量保证期顺延外，还应承担影响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正常运营所带来的相关责任。供应商所提供的服务成果发生故障、损坏后，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应及时通知供应商，供应商应在接到故障通知后48小时内给予响应，如果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要求紧急处理，供应商应在收到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通知后的24小时内赶到现场，为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修理或更换相关服务成果，并承担因此所产生的一切费用。供应商未能按约定履行质保义务，</w:t>
            </w:r>
            <w:r w:rsidR="0062031F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实验室</w:t>
            </w:r>
            <w:r w:rsidRPr="00500C52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有权另行委托第三方对服务成果进行处理，由此产生的费用由供应商承担。在接到一般故障报修后，48小时内上门进行维修；在接到重大故障（由制造、设计、材料缺陷或安装错误导致的问题）报修后，2小时内上门进行维修。</w:t>
            </w:r>
          </w:p>
        </w:tc>
        <w:tc>
          <w:tcPr>
            <w:tcW w:w="2200" w:type="dxa"/>
            <w:vAlign w:val="center"/>
          </w:tcPr>
          <w:p w:rsidR="00FB1E6C" w:rsidRDefault="00FB1E6C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B1E6C" w:rsidRDefault="00FB1E6C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1C2A38" w:rsidTr="00500C52">
        <w:tc>
          <w:tcPr>
            <w:tcW w:w="912" w:type="dxa"/>
            <w:vAlign w:val="center"/>
          </w:tcPr>
          <w:p w:rsidR="001C2A38" w:rsidRDefault="00FA1E35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1C2A38" w:rsidRDefault="00BD7C02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其他</w:t>
            </w:r>
          </w:p>
        </w:tc>
        <w:tc>
          <w:tcPr>
            <w:tcW w:w="3325" w:type="dxa"/>
            <w:vAlign w:val="center"/>
          </w:tcPr>
          <w:p w:rsidR="00713028" w:rsidRPr="00713028" w:rsidRDefault="00713028" w:rsidP="00713028">
            <w:pPr>
              <w:jc w:val="left"/>
              <w:rPr>
                <w:rFonts w:ascii="仿宋_GB2312" w:eastAsia="仿宋_GB2312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</w:rPr>
              <w:t>双方签订为期两年的服务合同，合同期限届满或实际产生的费用达到合同约定总金额时，合同终止，以先到者为准。</w:t>
            </w:r>
          </w:p>
        </w:tc>
        <w:tc>
          <w:tcPr>
            <w:tcW w:w="2200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1C2A38" w:rsidRDefault="001C2A38" w:rsidP="00500C52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</w:tbl>
    <w:p w:rsidR="001C2A38" w:rsidRDefault="001C2A38" w:rsidP="00301A68">
      <w:pPr>
        <w:rPr>
          <w:rFonts w:ascii="仿宋_GB2312" w:eastAsia="仿宋_GB2312" w:hAnsi="仿宋_GB2312" w:cs="仿宋_GB2312" w:hint="eastAsia"/>
          <w:sz w:val="28"/>
          <w:szCs w:val="36"/>
        </w:rPr>
      </w:pPr>
    </w:p>
    <w:p w:rsidR="001C2A38" w:rsidRDefault="00BD7C02">
      <w:pPr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公司名称（盖章）：</w:t>
      </w:r>
    </w:p>
    <w:p w:rsidR="001C2A38" w:rsidRDefault="00BD7C02">
      <w:pPr>
        <w:ind w:firstLineChars="1100" w:firstLine="308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日期：</w:t>
      </w:r>
    </w:p>
    <w:sectPr w:rsidR="001C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08" w:rsidRDefault="00941508" w:rsidP="00183844">
      <w:r>
        <w:separator/>
      </w:r>
    </w:p>
  </w:endnote>
  <w:endnote w:type="continuationSeparator" w:id="0">
    <w:p w:rsidR="00941508" w:rsidRDefault="00941508" w:rsidP="0018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08" w:rsidRDefault="00941508" w:rsidP="00183844">
      <w:r>
        <w:separator/>
      </w:r>
    </w:p>
  </w:footnote>
  <w:footnote w:type="continuationSeparator" w:id="0">
    <w:p w:rsidR="00941508" w:rsidRDefault="00941508" w:rsidP="0018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3A91F8"/>
    <w:multiLevelType w:val="singleLevel"/>
    <w:tmpl w:val="A83A91F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3B57C5B"/>
    <w:multiLevelType w:val="singleLevel"/>
    <w:tmpl w:val="C3B57C5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jZkZWQ2YWQyYjdiYzhiMWFjYTU3OTVmZDQ2OTgifQ=="/>
  </w:docVars>
  <w:rsids>
    <w:rsidRoot w:val="064E63DA"/>
    <w:rsid w:val="00183844"/>
    <w:rsid w:val="001C2A38"/>
    <w:rsid w:val="00301A68"/>
    <w:rsid w:val="00500C52"/>
    <w:rsid w:val="0062031F"/>
    <w:rsid w:val="00652911"/>
    <w:rsid w:val="00713028"/>
    <w:rsid w:val="008036CB"/>
    <w:rsid w:val="009310F1"/>
    <w:rsid w:val="00941508"/>
    <w:rsid w:val="00AE3692"/>
    <w:rsid w:val="00AF6B79"/>
    <w:rsid w:val="00BD7C02"/>
    <w:rsid w:val="00FA1E35"/>
    <w:rsid w:val="00FB1E6C"/>
    <w:rsid w:val="064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B59FB"/>
  <w15:docId w15:val="{D993DEC2-71EA-4CA4-AF54-D5D71F91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3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83844"/>
    <w:rPr>
      <w:kern w:val="2"/>
      <w:sz w:val="18"/>
      <w:szCs w:val="18"/>
    </w:rPr>
  </w:style>
  <w:style w:type="paragraph" w:styleId="a6">
    <w:name w:val="footer"/>
    <w:basedOn w:val="a"/>
    <w:link w:val="a7"/>
    <w:rsid w:val="00183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838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MZM</dc:creator>
  <cp:lastModifiedBy>York Liu</cp:lastModifiedBy>
  <cp:revision>7</cp:revision>
  <dcterms:created xsi:type="dcterms:W3CDTF">2024-08-05T03:06:00Z</dcterms:created>
  <dcterms:modified xsi:type="dcterms:W3CDTF">2024-08-06T06:34:00Z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F5704C4568E246ADA7C320BD2BD7DBA0_11</vt:lpwstr>
  </property>
</Properties>
</file>